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87E" w:rsidRPr="0098758D" w:rsidRDefault="003E7997" w:rsidP="001C101B">
      <w:pPr>
        <w:pStyle w:val="Titre"/>
        <w:pBdr>
          <w:top w:val="single" w:sz="4" w:space="1" w:color="auto"/>
          <w:left w:val="single" w:sz="4" w:space="4" w:color="auto"/>
          <w:bottom w:val="single" w:sz="4" w:space="1" w:color="auto"/>
          <w:right w:val="single" w:sz="4" w:space="4" w:color="auto"/>
        </w:pBdr>
        <w:jc w:val="center"/>
        <w:rPr>
          <w:b/>
          <w:color w:val="00B050"/>
          <w:sz w:val="44"/>
          <w:szCs w:val="44"/>
          <w:lang w:val="en-US"/>
        </w:rPr>
      </w:pPr>
      <w:bookmarkStart w:id="0" w:name="_GoBack"/>
      <w:bookmarkEnd w:id="0"/>
      <w:r w:rsidRPr="0098758D">
        <w:rPr>
          <w:b/>
          <w:color w:val="00B050"/>
          <w:sz w:val="44"/>
          <w:szCs w:val="44"/>
          <w:lang w:val="en-US"/>
        </w:rPr>
        <w:t xml:space="preserve">High Level </w:t>
      </w:r>
      <w:r w:rsidR="00B12B85" w:rsidRPr="0098758D">
        <w:rPr>
          <w:b/>
          <w:color w:val="00B050"/>
          <w:sz w:val="44"/>
          <w:szCs w:val="44"/>
          <w:lang w:val="en-US"/>
        </w:rPr>
        <w:t>Contingency plan</w:t>
      </w:r>
      <w:r w:rsidR="001C101B" w:rsidRPr="0098758D">
        <w:rPr>
          <w:b/>
          <w:color w:val="00B050"/>
          <w:sz w:val="44"/>
          <w:szCs w:val="44"/>
          <w:lang w:val="en-US"/>
        </w:rPr>
        <w:t xml:space="preserve">s as per article 28(2) of BMR in case of </w:t>
      </w:r>
      <w:r w:rsidR="00B12B85" w:rsidRPr="0098758D">
        <w:rPr>
          <w:b/>
          <w:color w:val="00B050"/>
          <w:sz w:val="44"/>
          <w:szCs w:val="44"/>
          <w:lang w:val="en-US"/>
        </w:rPr>
        <w:t xml:space="preserve">Benchmark </w:t>
      </w:r>
      <w:r w:rsidR="001C101B" w:rsidRPr="0098758D">
        <w:rPr>
          <w:b/>
          <w:color w:val="00B050"/>
          <w:sz w:val="44"/>
          <w:szCs w:val="44"/>
          <w:lang w:val="en-US"/>
        </w:rPr>
        <w:t>change</w:t>
      </w:r>
      <w:r w:rsidR="00B12B85" w:rsidRPr="0098758D">
        <w:rPr>
          <w:b/>
          <w:color w:val="00B050"/>
          <w:sz w:val="44"/>
          <w:szCs w:val="44"/>
          <w:lang w:val="en-US"/>
        </w:rPr>
        <w:t xml:space="preserve"> or </w:t>
      </w:r>
      <w:r w:rsidR="0083490A" w:rsidRPr="0098758D">
        <w:rPr>
          <w:b/>
          <w:color w:val="00B050"/>
          <w:sz w:val="44"/>
          <w:szCs w:val="44"/>
          <w:lang w:val="en-US"/>
        </w:rPr>
        <w:t>cessation</w:t>
      </w:r>
    </w:p>
    <w:p w:rsidR="00AA6388" w:rsidRPr="0098758D" w:rsidRDefault="00AA6388" w:rsidP="00665840">
      <w:pPr>
        <w:jc w:val="both"/>
        <w:rPr>
          <w:lang w:val="en-US"/>
        </w:rPr>
      </w:pPr>
    </w:p>
    <w:p w:rsidR="00F75156" w:rsidRPr="0098758D" w:rsidRDefault="00CC5E32" w:rsidP="00216FE4">
      <w:pPr>
        <w:jc w:val="both"/>
        <w:rPr>
          <w:sz w:val="21"/>
          <w:szCs w:val="21"/>
          <w:lang w:val="en-US"/>
        </w:rPr>
      </w:pPr>
      <w:r w:rsidRPr="0098758D">
        <w:rPr>
          <w:sz w:val="21"/>
          <w:szCs w:val="21"/>
          <w:lang w:val="en-US"/>
        </w:rPr>
        <w:t xml:space="preserve">As a </w:t>
      </w:r>
      <w:r w:rsidR="005A72ED" w:rsidRPr="0098758D">
        <w:rPr>
          <w:sz w:val="21"/>
          <w:szCs w:val="21"/>
          <w:lang w:val="en-US"/>
        </w:rPr>
        <w:t xml:space="preserve">supervised entity and a </w:t>
      </w:r>
      <w:r w:rsidRPr="0098758D">
        <w:rPr>
          <w:sz w:val="21"/>
          <w:szCs w:val="21"/>
          <w:lang w:val="en-US"/>
        </w:rPr>
        <w:t xml:space="preserve">user of </w:t>
      </w:r>
      <w:r w:rsidR="00357571" w:rsidRPr="0098758D">
        <w:rPr>
          <w:sz w:val="21"/>
          <w:szCs w:val="21"/>
          <w:lang w:val="en-US"/>
        </w:rPr>
        <w:t>b</w:t>
      </w:r>
      <w:r w:rsidRPr="0098758D">
        <w:rPr>
          <w:sz w:val="21"/>
          <w:szCs w:val="21"/>
          <w:lang w:val="en-US"/>
        </w:rPr>
        <w:t xml:space="preserve">enchmarks </w:t>
      </w:r>
      <w:r w:rsidR="00357571" w:rsidRPr="0098758D">
        <w:rPr>
          <w:sz w:val="21"/>
          <w:szCs w:val="21"/>
          <w:lang w:val="en-US"/>
        </w:rPr>
        <w:t xml:space="preserve">in the EEA </w:t>
      </w:r>
      <w:r w:rsidRPr="0098758D">
        <w:rPr>
          <w:sz w:val="21"/>
          <w:szCs w:val="21"/>
          <w:lang w:val="en-US"/>
        </w:rPr>
        <w:t>and in order to comply with article 28(2) of the European Benchmarks Regulation (BMR)</w:t>
      </w:r>
      <w:r w:rsidR="00AA6388" w:rsidRPr="0098758D">
        <w:rPr>
          <w:rStyle w:val="Appelnotedebasdep"/>
          <w:sz w:val="21"/>
          <w:szCs w:val="21"/>
          <w:lang w:val="en-US"/>
        </w:rPr>
        <w:footnoteReference w:id="1"/>
      </w:r>
      <w:r w:rsidRPr="0098758D">
        <w:rPr>
          <w:sz w:val="21"/>
          <w:szCs w:val="21"/>
          <w:lang w:val="en-US"/>
        </w:rPr>
        <w:t>,</w:t>
      </w:r>
      <w:r w:rsidR="00E56562" w:rsidRPr="0098758D">
        <w:rPr>
          <w:sz w:val="21"/>
          <w:szCs w:val="21"/>
          <w:lang w:val="en-US"/>
        </w:rPr>
        <w:t xml:space="preserve"> </w:t>
      </w:r>
      <w:r w:rsidR="00437CEE" w:rsidRPr="0098758D">
        <w:rPr>
          <w:sz w:val="21"/>
          <w:szCs w:val="21"/>
          <w:lang w:val="en-US"/>
        </w:rPr>
        <w:t>CAL&amp;F</w:t>
      </w:r>
      <w:r w:rsidR="00C6765C" w:rsidRPr="0098758D">
        <w:rPr>
          <w:sz w:val="21"/>
          <w:szCs w:val="21"/>
          <w:lang w:val="en-US"/>
        </w:rPr>
        <w:t xml:space="preserve"> Group</w:t>
      </w:r>
      <w:r w:rsidR="00437CEE" w:rsidRPr="0098758D">
        <w:rPr>
          <w:sz w:val="21"/>
          <w:szCs w:val="21"/>
          <w:lang w:val="en-US"/>
        </w:rPr>
        <w:t xml:space="preserve"> (Credit Agricole Leasing &amp; Factoring) produce</w:t>
      </w:r>
      <w:r w:rsidR="00F75156" w:rsidRPr="0098758D">
        <w:rPr>
          <w:sz w:val="21"/>
          <w:szCs w:val="21"/>
          <w:lang w:val="en-US"/>
        </w:rPr>
        <w:t xml:space="preserve"> and </w:t>
      </w:r>
      <w:r w:rsidR="00547EFB" w:rsidRPr="0098758D">
        <w:rPr>
          <w:sz w:val="21"/>
          <w:szCs w:val="21"/>
          <w:lang w:val="en-US"/>
        </w:rPr>
        <w:t>will keep</w:t>
      </w:r>
      <w:r w:rsidR="00F75156" w:rsidRPr="0098758D">
        <w:rPr>
          <w:sz w:val="21"/>
          <w:szCs w:val="21"/>
          <w:lang w:val="en-US"/>
        </w:rPr>
        <w:t xml:space="preserve"> maintaining </w:t>
      </w:r>
      <w:r w:rsidR="00A41B2B" w:rsidRPr="0098758D">
        <w:rPr>
          <w:sz w:val="21"/>
          <w:szCs w:val="21"/>
          <w:lang w:val="en-US"/>
        </w:rPr>
        <w:t>r</w:t>
      </w:r>
      <w:r w:rsidR="00F75156" w:rsidRPr="0098758D">
        <w:rPr>
          <w:sz w:val="21"/>
          <w:szCs w:val="21"/>
          <w:lang w:val="en-US"/>
        </w:rPr>
        <w:t xml:space="preserve">obust </w:t>
      </w:r>
      <w:r w:rsidR="00C6765C" w:rsidRPr="0098758D">
        <w:rPr>
          <w:sz w:val="21"/>
          <w:szCs w:val="21"/>
          <w:lang w:val="en-US"/>
        </w:rPr>
        <w:t xml:space="preserve">contingency plans describing the detailed actions to be undertaken in the event an index it uses </w:t>
      </w:r>
      <w:r w:rsidR="00F75156" w:rsidRPr="0098758D">
        <w:rPr>
          <w:sz w:val="21"/>
          <w:szCs w:val="21"/>
          <w:lang w:val="en-US"/>
        </w:rPr>
        <w:t>:</w:t>
      </w:r>
    </w:p>
    <w:p w:rsidR="00F75156" w:rsidRPr="0098758D" w:rsidRDefault="00F75156" w:rsidP="00216FE4">
      <w:pPr>
        <w:pStyle w:val="Paragraphedeliste"/>
        <w:numPr>
          <w:ilvl w:val="0"/>
          <w:numId w:val="6"/>
        </w:numPr>
        <w:jc w:val="both"/>
        <w:rPr>
          <w:sz w:val="21"/>
          <w:szCs w:val="21"/>
          <w:lang w:val="en-US"/>
        </w:rPr>
      </w:pPr>
      <w:r w:rsidRPr="0098758D">
        <w:rPr>
          <w:b/>
          <w:sz w:val="21"/>
          <w:szCs w:val="21"/>
          <w:lang w:val="en-US"/>
        </w:rPr>
        <w:t>materially changed</w:t>
      </w:r>
      <w:r w:rsidRPr="0098758D">
        <w:rPr>
          <w:sz w:val="21"/>
          <w:szCs w:val="21"/>
          <w:lang w:val="en-US"/>
        </w:rPr>
        <w:t xml:space="preserve"> </w:t>
      </w:r>
      <w:r w:rsidR="00D65915" w:rsidRPr="0098758D">
        <w:rPr>
          <w:sz w:val="21"/>
          <w:szCs w:val="21"/>
          <w:lang w:val="en-US"/>
        </w:rPr>
        <w:t>(for instance in the event when</w:t>
      </w:r>
      <w:r w:rsidRPr="0098758D">
        <w:rPr>
          <w:sz w:val="21"/>
          <w:szCs w:val="21"/>
          <w:lang w:val="en-US"/>
        </w:rPr>
        <w:t xml:space="preserve"> a benchmark administrator </w:t>
      </w:r>
      <w:r w:rsidR="00D65915" w:rsidRPr="0098758D">
        <w:rPr>
          <w:sz w:val="21"/>
          <w:szCs w:val="21"/>
          <w:lang w:val="en-US"/>
        </w:rPr>
        <w:t>made</w:t>
      </w:r>
      <w:r w:rsidRPr="0098758D">
        <w:rPr>
          <w:sz w:val="21"/>
          <w:szCs w:val="21"/>
          <w:lang w:val="en-US"/>
        </w:rPr>
        <w:t xml:space="preserve"> the decision to implement a new methodology resulting in a </w:t>
      </w:r>
      <w:r w:rsidRPr="0098758D">
        <w:rPr>
          <w:b/>
          <w:sz w:val="21"/>
          <w:szCs w:val="21"/>
          <w:lang w:val="en-US"/>
        </w:rPr>
        <w:t>substan</w:t>
      </w:r>
      <w:r w:rsidR="00D65915" w:rsidRPr="0098758D">
        <w:rPr>
          <w:b/>
          <w:sz w:val="21"/>
          <w:szCs w:val="21"/>
          <w:lang w:val="en-US"/>
        </w:rPr>
        <w:t>tial</w:t>
      </w:r>
      <w:r w:rsidRPr="0098758D">
        <w:rPr>
          <w:b/>
          <w:sz w:val="21"/>
          <w:szCs w:val="21"/>
          <w:lang w:val="en-US"/>
        </w:rPr>
        <w:t xml:space="preserve"> change</w:t>
      </w:r>
      <w:r w:rsidRPr="0098758D">
        <w:rPr>
          <w:sz w:val="21"/>
          <w:szCs w:val="21"/>
          <w:lang w:val="en-US"/>
        </w:rPr>
        <w:t xml:space="preserve"> </w:t>
      </w:r>
      <w:r w:rsidR="00D65915" w:rsidRPr="0098758D">
        <w:rPr>
          <w:sz w:val="21"/>
          <w:szCs w:val="21"/>
          <w:lang w:val="en-US"/>
        </w:rPr>
        <w:t>in</w:t>
      </w:r>
      <w:r w:rsidR="001306BC" w:rsidRPr="0098758D">
        <w:rPr>
          <w:sz w:val="21"/>
          <w:szCs w:val="21"/>
          <w:lang w:val="en-US"/>
        </w:rPr>
        <w:t xml:space="preserve"> </w:t>
      </w:r>
      <w:r w:rsidRPr="0098758D">
        <w:rPr>
          <w:sz w:val="21"/>
          <w:szCs w:val="21"/>
          <w:lang w:val="en-US"/>
        </w:rPr>
        <w:t xml:space="preserve">the underlying interest </w:t>
      </w:r>
      <w:r w:rsidR="00D65915" w:rsidRPr="0098758D">
        <w:rPr>
          <w:sz w:val="21"/>
          <w:szCs w:val="21"/>
          <w:lang w:val="en-US"/>
        </w:rPr>
        <w:t>that the index aims</w:t>
      </w:r>
      <w:r w:rsidRPr="0098758D">
        <w:rPr>
          <w:sz w:val="21"/>
          <w:szCs w:val="21"/>
          <w:lang w:val="en-US"/>
        </w:rPr>
        <w:t xml:space="preserve"> to measure)</w:t>
      </w:r>
      <w:r w:rsidR="009A19D8" w:rsidRPr="0098758D">
        <w:rPr>
          <w:sz w:val="21"/>
          <w:szCs w:val="21"/>
          <w:lang w:val="en-US"/>
        </w:rPr>
        <w:t>,</w:t>
      </w:r>
    </w:p>
    <w:p w:rsidR="00F75156" w:rsidRPr="0098758D" w:rsidRDefault="00F75156" w:rsidP="00216FE4">
      <w:pPr>
        <w:pStyle w:val="Paragraphedeliste"/>
        <w:numPr>
          <w:ilvl w:val="0"/>
          <w:numId w:val="6"/>
        </w:numPr>
        <w:jc w:val="both"/>
        <w:rPr>
          <w:sz w:val="21"/>
          <w:szCs w:val="21"/>
          <w:lang w:val="en-US"/>
        </w:rPr>
      </w:pPr>
      <w:r w:rsidRPr="0098758D">
        <w:rPr>
          <w:b/>
          <w:sz w:val="21"/>
          <w:szCs w:val="21"/>
          <w:lang w:val="en-US"/>
        </w:rPr>
        <w:t>ceased to exist or being published by its administrator</w:t>
      </w:r>
      <w:r w:rsidR="00E174E1" w:rsidRPr="0098758D">
        <w:rPr>
          <w:b/>
          <w:sz w:val="21"/>
          <w:szCs w:val="21"/>
          <w:lang w:val="en-US"/>
        </w:rPr>
        <w:t xml:space="preserve"> </w:t>
      </w:r>
      <w:r w:rsidR="00E174E1" w:rsidRPr="0098758D">
        <w:rPr>
          <w:sz w:val="21"/>
          <w:szCs w:val="21"/>
          <w:lang w:val="en-US"/>
        </w:rPr>
        <w:t>(permanently</w:t>
      </w:r>
      <w:r w:rsidR="00773532" w:rsidRPr="0098758D">
        <w:rPr>
          <w:sz w:val="21"/>
          <w:szCs w:val="21"/>
          <w:lang w:val="en-US"/>
        </w:rPr>
        <w:t xml:space="preserve"> or temporary</w:t>
      </w:r>
      <w:r w:rsidR="00E174E1" w:rsidRPr="0098758D">
        <w:rPr>
          <w:sz w:val="21"/>
          <w:szCs w:val="21"/>
          <w:lang w:val="en-US"/>
        </w:rPr>
        <w:t>)</w:t>
      </w:r>
      <w:r w:rsidR="009A19D8" w:rsidRPr="0098758D">
        <w:rPr>
          <w:b/>
          <w:sz w:val="21"/>
          <w:szCs w:val="21"/>
          <w:lang w:val="en-US"/>
        </w:rPr>
        <w:t>,</w:t>
      </w:r>
    </w:p>
    <w:p w:rsidR="00B92DA9" w:rsidRPr="0098758D" w:rsidRDefault="00F75156" w:rsidP="00216FE4">
      <w:pPr>
        <w:pStyle w:val="Paragraphedeliste"/>
        <w:numPr>
          <w:ilvl w:val="0"/>
          <w:numId w:val="6"/>
        </w:numPr>
        <w:jc w:val="both"/>
        <w:rPr>
          <w:sz w:val="21"/>
          <w:szCs w:val="21"/>
          <w:lang w:val="en-US"/>
        </w:rPr>
      </w:pPr>
      <w:r w:rsidRPr="0098758D">
        <w:rPr>
          <w:b/>
          <w:sz w:val="21"/>
          <w:szCs w:val="21"/>
          <w:lang w:val="en-US"/>
        </w:rPr>
        <w:t>was not authorized</w:t>
      </w:r>
      <w:r w:rsidR="00E174E1" w:rsidRPr="0098758D">
        <w:rPr>
          <w:b/>
          <w:sz w:val="21"/>
          <w:szCs w:val="21"/>
          <w:lang w:val="en-US"/>
        </w:rPr>
        <w:t xml:space="preserve"> </w:t>
      </w:r>
      <w:r w:rsidR="009A19D8" w:rsidRPr="0098758D">
        <w:rPr>
          <w:sz w:val="21"/>
          <w:szCs w:val="21"/>
          <w:lang w:val="en-US"/>
        </w:rPr>
        <w:t>(</w:t>
      </w:r>
      <w:r w:rsidR="00B92DA9" w:rsidRPr="0098758D">
        <w:rPr>
          <w:sz w:val="21"/>
          <w:szCs w:val="21"/>
          <w:lang w:val="en-US"/>
        </w:rPr>
        <w:t>i.e</w:t>
      </w:r>
      <w:r w:rsidR="001306BC" w:rsidRPr="0098758D">
        <w:rPr>
          <w:sz w:val="21"/>
          <w:szCs w:val="21"/>
          <w:lang w:val="en-US"/>
        </w:rPr>
        <w:t>.</w:t>
      </w:r>
      <w:r w:rsidR="00B92DA9" w:rsidRPr="0098758D">
        <w:rPr>
          <w:sz w:val="21"/>
          <w:szCs w:val="21"/>
          <w:lang w:val="en-US"/>
        </w:rPr>
        <w:t xml:space="preserve"> as per the BMR not </w:t>
      </w:r>
      <w:r w:rsidR="001F5870" w:rsidRPr="0098758D">
        <w:rPr>
          <w:sz w:val="21"/>
          <w:szCs w:val="21"/>
          <w:lang w:val="en-US"/>
        </w:rPr>
        <w:t>included i</w:t>
      </w:r>
      <w:r w:rsidR="00B92DA9" w:rsidRPr="0098758D">
        <w:rPr>
          <w:sz w:val="21"/>
          <w:szCs w:val="21"/>
          <w:lang w:val="en-US"/>
        </w:rPr>
        <w:t>n the ESMA register</w:t>
      </w:r>
      <w:r w:rsidR="00B92DA9" w:rsidRPr="0098758D">
        <w:rPr>
          <w:b/>
          <w:sz w:val="21"/>
          <w:szCs w:val="21"/>
          <w:lang w:val="en-US"/>
        </w:rPr>
        <w:t>):</w:t>
      </w:r>
      <w:r w:rsidR="00E64CCA" w:rsidRPr="0098758D">
        <w:rPr>
          <w:b/>
          <w:sz w:val="21"/>
          <w:szCs w:val="21"/>
          <w:lang w:val="en-US"/>
        </w:rPr>
        <w:t xml:space="preserve"> </w:t>
      </w:r>
      <w:r w:rsidR="00B92DA9" w:rsidRPr="0098758D">
        <w:rPr>
          <w:b/>
          <w:sz w:val="21"/>
          <w:szCs w:val="21"/>
          <w:lang w:val="en-US"/>
        </w:rPr>
        <w:t xml:space="preserve"> </w:t>
      </w:r>
    </w:p>
    <w:p w:rsidR="00B92DA9" w:rsidRPr="0098758D" w:rsidRDefault="00E64CCA" w:rsidP="00216FE4">
      <w:pPr>
        <w:pStyle w:val="Paragraphedeliste"/>
        <w:numPr>
          <w:ilvl w:val="0"/>
          <w:numId w:val="9"/>
        </w:numPr>
        <w:jc w:val="both"/>
        <w:rPr>
          <w:sz w:val="21"/>
          <w:szCs w:val="21"/>
          <w:lang w:val="en-US"/>
        </w:rPr>
      </w:pPr>
      <w:r w:rsidRPr="0098758D">
        <w:rPr>
          <w:b/>
          <w:sz w:val="21"/>
          <w:szCs w:val="21"/>
          <w:lang w:val="en-US"/>
        </w:rPr>
        <w:t xml:space="preserve">before 01.01.2020 for </w:t>
      </w:r>
      <w:r w:rsidR="00C90E41" w:rsidRPr="0098758D">
        <w:rPr>
          <w:b/>
          <w:sz w:val="21"/>
          <w:szCs w:val="21"/>
          <w:lang w:val="en-US"/>
        </w:rPr>
        <w:t xml:space="preserve">non-critical benchmarks administrated by </w:t>
      </w:r>
      <w:r w:rsidR="001F5870" w:rsidRPr="0098758D">
        <w:rPr>
          <w:b/>
          <w:sz w:val="21"/>
          <w:szCs w:val="21"/>
          <w:lang w:val="en-US"/>
        </w:rPr>
        <w:t xml:space="preserve">an </w:t>
      </w:r>
      <w:r w:rsidRPr="0098758D">
        <w:rPr>
          <w:b/>
          <w:sz w:val="21"/>
          <w:szCs w:val="21"/>
          <w:lang w:val="en-US"/>
        </w:rPr>
        <w:t>EEA administrator</w:t>
      </w:r>
      <w:r w:rsidR="009A19D8" w:rsidRPr="0098758D">
        <w:rPr>
          <w:sz w:val="21"/>
          <w:szCs w:val="21"/>
          <w:lang w:val="en-US"/>
        </w:rPr>
        <w:t>,</w:t>
      </w:r>
    </w:p>
    <w:p w:rsidR="00B92DA9" w:rsidRPr="0098758D" w:rsidRDefault="00F75156" w:rsidP="00216FE4">
      <w:pPr>
        <w:pStyle w:val="Paragraphedeliste"/>
        <w:numPr>
          <w:ilvl w:val="0"/>
          <w:numId w:val="9"/>
        </w:numPr>
        <w:jc w:val="both"/>
        <w:rPr>
          <w:sz w:val="21"/>
          <w:szCs w:val="21"/>
          <w:lang w:val="en-US"/>
        </w:rPr>
      </w:pPr>
      <w:r w:rsidRPr="0098758D">
        <w:rPr>
          <w:b/>
          <w:sz w:val="21"/>
          <w:szCs w:val="21"/>
          <w:lang w:val="en-US"/>
        </w:rPr>
        <w:t xml:space="preserve">before 01.01.2022 for </w:t>
      </w:r>
      <w:r w:rsidR="00C90E41" w:rsidRPr="0098758D">
        <w:rPr>
          <w:b/>
          <w:sz w:val="21"/>
          <w:szCs w:val="21"/>
          <w:lang w:val="en-US"/>
        </w:rPr>
        <w:t xml:space="preserve">critical benchmarks and </w:t>
      </w:r>
      <w:r w:rsidRPr="0098758D">
        <w:rPr>
          <w:b/>
          <w:sz w:val="21"/>
          <w:szCs w:val="21"/>
          <w:lang w:val="en-US"/>
        </w:rPr>
        <w:t>third</w:t>
      </w:r>
      <w:r w:rsidR="00140384" w:rsidRPr="0098758D">
        <w:rPr>
          <w:b/>
          <w:sz w:val="21"/>
          <w:szCs w:val="21"/>
          <w:lang w:val="en-US"/>
        </w:rPr>
        <w:t>-</w:t>
      </w:r>
      <w:r w:rsidRPr="0098758D">
        <w:rPr>
          <w:b/>
          <w:sz w:val="21"/>
          <w:szCs w:val="21"/>
          <w:lang w:val="en-US"/>
        </w:rPr>
        <w:t>country</w:t>
      </w:r>
      <w:r w:rsidR="00140384" w:rsidRPr="0098758D">
        <w:rPr>
          <w:b/>
          <w:sz w:val="21"/>
          <w:szCs w:val="21"/>
          <w:lang w:val="en-US"/>
        </w:rPr>
        <w:t xml:space="preserve"> </w:t>
      </w:r>
      <w:r w:rsidR="001F5870" w:rsidRPr="0098758D">
        <w:rPr>
          <w:b/>
          <w:sz w:val="21"/>
          <w:szCs w:val="21"/>
          <w:lang w:val="en-US"/>
        </w:rPr>
        <w:t>administrated benchmarks</w:t>
      </w:r>
      <w:r w:rsidR="009A19D8" w:rsidRPr="0098758D">
        <w:rPr>
          <w:sz w:val="21"/>
          <w:szCs w:val="21"/>
          <w:lang w:val="en-US"/>
        </w:rPr>
        <w:t>,</w:t>
      </w:r>
    </w:p>
    <w:p w:rsidR="001A3E13" w:rsidRPr="0098758D" w:rsidRDefault="00E64CCA" w:rsidP="009135E3">
      <w:pPr>
        <w:pStyle w:val="Paragraphedeliste"/>
        <w:numPr>
          <w:ilvl w:val="0"/>
          <w:numId w:val="6"/>
        </w:numPr>
        <w:jc w:val="both"/>
        <w:rPr>
          <w:b/>
          <w:sz w:val="21"/>
          <w:szCs w:val="21"/>
          <w:lang w:val="en-US"/>
        </w:rPr>
      </w:pPr>
      <w:r w:rsidRPr="0098758D">
        <w:rPr>
          <w:b/>
          <w:sz w:val="21"/>
          <w:szCs w:val="21"/>
          <w:lang w:val="en-US"/>
        </w:rPr>
        <w:t xml:space="preserve">was </w:t>
      </w:r>
      <w:r w:rsidR="009135E3" w:rsidRPr="0098758D">
        <w:rPr>
          <w:b/>
          <w:sz w:val="21"/>
          <w:szCs w:val="21"/>
          <w:lang w:val="en-US"/>
        </w:rPr>
        <w:t xml:space="preserve">removed </w:t>
      </w:r>
      <w:r w:rsidRPr="0098758D">
        <w:rPr>
          <w:b/>
          <w:sz w:val="21"/>
          <w:szCs w:val="21"/>
          <w:lang w:val="en-US"/>
        </w:rPr>
        <w:t>from the list of authorized administrators and benchmarks</w:t>
      </w:r>
      <w:r w:rsidR="00B92DA9" w:rsidRPr="0098758D">
        <w:rPr>
          <w:b/>
          <w:sz w:val="21"/>
          <w:szCs w:val="21"/>
          <w:lang w:val="en-US"/>
        </w:rPr>
        <w:t xml:space="preserve"> (i.e</w:t>
      </w:r>
      <w:r w:rsidR="001306BC" w:rsidRPr="0098758D">
        <w:rPr>
          <w:b/>
          <w:sz w:val="21"/>
          <w:szCs w:val="21"/>
          <w:lang w:val="en-US"/>
        </w:rPr>
        <w:t>.</w:t>
      </w:r>
      <w:r w:rsidR="00B92DA9" w:rsidRPr="0098758D">
        <w:rPr>
          <w:b/>
          <w:sz w:val="21"/>
          <w:szCs w:val="21"/>
          <w:lang w:val="en-US"/>
        </w:rPr>
        <w:t xml:space="preserve"> </w:t>
      </w:r>
      <w:r w:rsidR="009135E3" w:rsidRPr="0098758D">
        <w:rPr>
          <w:b/>
          <w:sz w:val="21"/>
          <w:szCs w:val="21"/>
          <w:lang w:val="en-US"/>
        </w:rPr>
        <w:t xml:space="preserve">from the </w:t>
      </w:r>
      <w:r w:rsidR="00B92DA9" w:rsidRPr="0098758D">
        <w:rPr>
          <w:b/>
          <w:sz w:val="21"/>
          <w:szCs w:val="21"/>
          <w:lang w:val="en-US"/>
        </w:rPr>
        <w:t>ESMA register)</w:t>
      </w:r>
      <w:r w:rsidR="009135E3" w:rsidRPr="0098758D">
        <w:rPr>
          <w:b/>
          <w:sz w:val="21"/>
          <w:szCs w:val="21"/>
          <w:lang w:val="en-US"/>
        </w:rPr>
        <w:t>.</w:t>
      </w:r>
    </w:p>
    <w:p w:rsidR="00C56B99" w:rsidRPr="0098758D" w:rsidRDefault="00C56B99" w:rsidP="00216FE4">
      <w:pPr>
        <w:jc w:val="both"/>
        <w:rPr>
          <w:sz w:val="21"/>
          <w:szCs w:val="21"/>
          <w:lang w:val="en-US"/>
        </w:rPr>
      </w:pPr>
      <w:r w:rsidRPr="0098758D">
        <w:rPr>
          <w:sz w:val="21"/>
          <w:szCs w:val="21"/>
          <w:lang w:val="en-US"/>
        </w:rPr>
        <w:t>These</w:t>
      </w:r>
      <w:r w:rsidR="00EB646F" w:rsidRPr="0098758D">
        <w:rPr>
          <w:sz w:val="21"/>
          <w:szCs w:val="21"/>
          <w:lang w:val="en-US"/>
        </w:rPr>
        <w:t xml:space="preserve"> contingency plan</w:t>
      </w:r>
      <w:r w:rsidRPr="0098758D">
        <w:rPr>
          <w:sz w:val="21"/>
          <w:szCs w:val="21"/>
          <w:lang w:val="en-US"/>
        </w:rPr>
        <w:t xml:space="preserve">s </w:t>
      </w:r>
      <w:r w:rsidR="00AA6388" w:rsidRPr="0098758D">
        <w:rPr>
          <w:sz w:val="21"/>
          <w:szCs w:val="21"/>
          <w:lang w:val="en-US"/>
        </w:rPr>
        <w:t>were designed to cover</w:t>
      </w:r>
      <w:r w:rsidR="00EB646F" w:rsidRPr="0098758D">
        <w:rPr>
          <w:sz w:val="21"/>
          <w:szCs w:val="21"/>
          <w:lang w:val="en-US"/>
        </w:rPr>
        <w:t xml:space="preserve">: </w:t>
      </w:r>
    </w:p>
    <w:p w:rsidR="00C56B99" w:rsidRPr="0098758D" w:rsidRDefault="00EB646F" w:rsidP="00216FE4">
      <w:pPr>
        <w:pStyle w:val="Paragraphedeliste"/>
        <w:numPr>
          <w:ilvl w:val="0"/>
          <w:numId w:val="7"/>
        </w:numPr>
        <w:jc w:val="both"/>
        <w:rPr>
          <w:sz w:val="21"/>
          <w:szCs w:val="21"/>
          <w:lang w:val="en-US"/>
        </w:rPr>
      </w:pPr>
      <w:r w:rsidRPr="0098758D">
        <w:rPr>
          <w:b/>
          <w:sz w:val="21"/>
          <w:szCs w:val="21"/>
          <w:lang w:val="en-US"/>
        </w:rPr>
        <w:t>an emergency plan</w:t>
      </w:r>
      <w:r w:rsidRPr="0098758D">
        <w:rPr>
          <w:sz w:val="21"/>
          <w:szCs w:val="21"/>
          <w:lang w:val="en-US"/>
        </w:rPr>
        <w:t xml:space="preserve"> in case a </w:t>
      </w:r>
      <w:r w:rsidR="003761CD" w:rsidRPr="0098758D">
        <w:rPr>
          <w:sz w:val="21"/>
          <w:szCs w:val="21"/>
          <w:lang w:val="en-US"/>
        </w:rPr>
        <w:t>b</w:t>
      </w:r>
      <w:r w:rsidRPr="0098758D">
        <w:rPr>
          <w:sz w:val="21"/>
          <w:szCs w:val="21"/>
          <w:lang w:val="en-US"/>
        </w:rPr>
        <w:t xml:space="preserve">enchmark is suddenly </w:t>
      </w:r>
      <w:r w:rsidR="00357571" w:rsidRPr="0098758D">
        <w:rPr>
          <w:sz w:val="21"/>
          <w:szCs w:val="21"/>
          <w:lang w:val="en-US"/>
        </w:rPr>
        <w:t xml:space="preserve">no longer </w:t>
      </w:r>
      <w:r w:rsidRPr="0098758D">
        <w:rPr>
          <w:sz w:val="21"/>
          <w:szCs w:val="21"/>
          <w:lang w:val="en-US"/>
        </w:rPr>
        <w:t>available</w:t>
      </w:r>
      <w:r w:rsidR="00C56B99" w:rsidRPr="0098758D">
        <w:rPr>
          <w:sz w:val="21"/>
          <w:szCs w:val="21"/>
          <w:lang w:val="en-US"/>
        </w:rPr>
        <w:t xml:space="preserve"> (i</w:t>
      </w:r>
      <w:r w:rsidR="001306BC" w:rsidRPr="0098758D">
        <w:rPr>
          <w:sz w:val="21"/>
          <w:szCs w:val="21"/>
          <w:lang w:val="en-US"/>
        </w:rPr>
        <w:t>.</w:t>
      </w:r>
      <w:r w:rsidR="00C56B99" w:rsidRPr="0098758D">
        <w:rPr>
          <w:sz w:val="21"/>
          <w:szCs w:val="21"/>
          <w:lang w:val="en-US"/>
        </w:rPr>
        <w:t>e</w:t>
      </w:r>
      <w:r w:rsidR="001306BC" w:rsidRPr="0098758D">
        <w:rPr>
          <w:sz w:val="21"/>
          <w:szCs w:val="21"/>
          <w:lang w:val="en-US"/>
        </w:rPr>
        <w:t>.</w:t>
      </w:r>
      <w:r w:rsidR="00C56B99" w:rsidRPr="0098758D">
        <w:rPr>
          <w:sz w:val="21"/>
          <w:szCs w:val="21"/>
          <w:lang w:val="en-US"/>
        </w:rPr>
        <w:t xml:space="preserve"> stop being published or made available to the public) or an administrator/calculation agent suddenly stops to administrate</w:t>
      </w:r>
      <w:r w:rsidR="001306BC" w:rsidRPr="0098758D">
        <w:rPr>
          <w:sz w:val="21"/>
          <w:szCs w:val="21"/>
          <w:lang w:val="en-US"/>
        </w:rPr>
        <w:t xml:space="preserve"> </w:t>
      </w:r>
      <w:r w:rsidR="00C56B99" w:rsidRPr="0098758D">
        <w:rPr>
          <w:sz w:val="21"/>
          <w:szCs w:val="21"/>
          <w:lang w:val="en-US"/>
        </w:rPr>
        <w:t>/</w:t>
      </w:r>
      <w:r w:rsidR="001306BC" w:rsidRPr="0098758D">
        <w:rPr>
          <w:sz w:val="21"/>
          <w:szCs w:val="21"/>
          <w:lang w:val="en-US"/>
        </w:rPr>
        <w:t xml:space="preserve"> </w:t>
      </w:r>
      <w:r w:rsidR="00C56B99" w:rsidRPr="0098758D">
        <w:rPr>
          <w:sz w:val="21"/>
          <w:szCs w:val="21"/>
          <w:lang w:val="en-US"/>
        </w:rPr>
        <w:t>calculate one of its Benchmarks</w:t>
      </w:r>
      <w:r w:rsidR="00D90775" w:rsidRPr="0098758D">
        <w:rPr>
          <w:sz w:val="21"/>
          <w:szCs w:val="21"/>
          <w:lang w:val="en-US"/>
        </w:rPr>
        <w:t>;</w:t>
      </w:r>
      <w:r w:rsidR="00C56B99" w:rsidRPr="0098758D">
        <w:rPr>
          <w:sz w:val="21"/>
          <w:szCs w:val="21"/>
          <w:lang w:val="en-US"/>
        </w:rPr>
        <w:t xml:space="preserve"> </w:t>
      </w:r>
    </w:p>
    <w:p w:rsidR="0024072F" w:rsidRPr="0098758D" w:rsidRDefault="00C56B99" w:rsidP="00216FE4">
      <w:pPr>
        <w:pStyle w:val="Paragraphedeliste"/>
        <w:numPr>
          <w:ilvl w:val="0"/>
          <w:numId w:val="7"/>
        </w:numPr>
        <w:jc w:val="both"/>
        <w:rPr>
          <w:sz w:val="21"/>
          <w:szCs w:val="21"/>
          <w:lang w:val="en-US"/>
        </w:rPr>
      </w:pPr>
      <w:r w:rsidRPr="0098758D">
        <w:rPr>
          <w:b/>
          <w:sz w:val="21"/>
          <w:szCs w:val="21"/>
          <w:lang w:val="en-US"/>
        </w:rPr>
        <w:t>a medium</w:t>
      </w:r>
      <w:r w:rsidR="00D90775" w:rsidRPr="0098758D">
        <w:rPr>
          <w:b/>
          <w:sz w:val="21"/>
          <w:szCs w:val="21"/>
          <w:lang w:val="en-US"/>
        </w:rPr>
        <w:t>/long</w:t>
      </w:r>
      <w:r w:rsidRPr="0098758D">
        <w:rPr>
          <w:b/>
          <w:sz w:val="21"/>
          <w:szCs w:val="21"/>
          <w:lang w:val="en-US"/>
        </w:rPr>
        <w:t>-term plan</w:t>
      </w:r>
      <w:r w:rsidRPr="0098758D">
        <w:rPr>
          <w:sz w:val="21"/>
          <w:szCs w:val="21"/>
          <w:lang w:val="en-US"/>
        </w:rPr>
        <w:t xml:space="preserve"> preparing</w:t>
      </w:r>
      <w:r w:rsidR="00EB646F" w:rsidRPr="0098758D">
        <w:rPr>
          <w:sz w:val="21"/>
          <w:szCs w:val="21"/>
          <w:lang w:val="en-US"/>
        </w:rPr>
        <w:t xml:space="preserve"> </w:t>
      </w:r>
      <w:r w:rsidRPr="0098758D">
        <w:rPr>
          <w:sz w:val="21"/>
          <w:szCs w:val="21"/>
          <w:lang w:val="en-US"/>
        </w:rPr>
        <w:t xml:space="preserve">a transition roadmap </w:t>
      </w:r>
      <w:r w:rsidR="00EB646F" w:rsidRPr="0098758D">
        <w:rPr>
          <w:sz w:val="21"/>
          <w:szCs w:val="21"/>
          <w:lang w:val="en-US"/>
        </w:rPr>
        <w:t xml:space="preserve">when the change or cessation of a benchmark is </w:t>
      </w:r>
      <w:r w:rsidR="00D90775" w:rsidRPr="0098758D">
        <w:rPr>
          <w:sz w:val="21"/>
          <w:szCs w:val="21"/>
          <w:lang w:val="en-US"/>
        </w:rPr>
        <w:t>known</w:t>
      </w:r>
      <w:r w:rsidR="00A0085E" w:rsidRPr="0098758D">
        <w:rPr>
          <w:sz w:val="21"/>
          <w:szCs w:val="21"/>
          <w:lang w:val="en-US"/>
        </w:rPr>
        <w:t xml:space="preserve"> well in advance</w:t>
      </w:r>
      <w:r w:rsidR="00EB646F" w:rsidRPr="0098758D">
        <w:rPr>
          <w:sz w:val="21"/>
          <w:szCs w:val="21"/>
          <w:lang w:val="en-US"/>
        </w:rPr>
        <w:t>.</w:t>
      </w:r>
    </w:p>
    <w:p w:rsidR="00AA6388" w:rsidRPr="0098758D" w:rsidRDefault="003E7997" w:rsidP="00216FE4">
      <w:pPr>
        <w:jc w:val="both"/>
        <w:rPr>
          <w:sz w:val="21"/>
          <w:szCs w:val="21"/>
          <w:lang w:val="en-US"/>
        </w:rPr>
      </w:pPr>
      <w:r w:rsidRPr="0098758D">
        <w:rPr>
          <w:sz w:val="21"/>
          <w:szCs w:val="21"/>
          <w:lang w:val="en-US"/>
        </w:rPr>
        <w:t xml:space="preserve">These plans are referencing how </w:t>
      </w:r>
      <w:r w:rsidR="00437CEE" w:rsidRPr="0098758D">
        <w:rPr>
          <w:sz w:val="21"/>
          <w:szCs w:val="21"/>
          <w:lang w:val="en-US"/>
        </w:rPr>
        <w:t>CAL&amp;F</w:t>
      </w:r>
      <w:r w:rsidR="00676532" w:rsidRPr="0098758D">
        <w:rPr>
          <w:sz w:val="21"/>
          <w:szCs w:val="21"/>
          <w:lang w:val="en-US"/>
        </w:rPr>
        <w:t xml:space="preserve"> Group</w:t>
      </w:r>
      <w:r w:rsidRPr="0098758D">
        <w:rPr>
          <w:sz w:val="21"/>
          <w:szCs w:val="21"/>
          <w:lang w:val="en-US"/>
        </w:rPr>
        <w:t xml:space="preserve"> is monitoring such potential events in order for it to launch these plans</w:t>
      </w:r>
      <w:r w:rsidR="00C9709A" w:rsidRPr="0098758D">
        <w:rPr>
          <w:sz w:val="21"/>
          <w:szCs w:val="21"/>
          <w:lang w:val="en-US"/>
        </w:rPr>
        <w:t xml:space="preserve"> as soon as an event occurs and is detected</w:t>
      </w:r>
      <w:r w:rsidRPr="0098758D">
        <w:rPr>
          <w:sz w:val="21"/>
          <w:szCs w:val="21"/>
          <w:lang w:val="en-US"/>
        </w:rPr>
        <w:t xml:space="preserve">.  </w:t>
      </w:r>
    </w:p>
    <w:p w:rsidR="003E7997" w:rsidRPr="0098758D" w:rsidRDefault="003E7997" w:rsidP="00216FE4">
      <w:pPr>
        <w:jc w:val="both"/>
        <w:rPr>
          <w:sz w:val="21"/>
          <w:szCs w:val="21"/>
          <w:lang w:val="en-US"/>
        </w:rPr>
      </w:pPr>
      <w:r w:rsidRPr="0098758D">
        <w:rPr>
          <w:sz w:val="21"/>
          <w:szCs w:val="21"/>
          <w:lang w:val="en-US"/>
        </w:rPr>
        <w:t xml:space="preserve">In addition, a list of important actions to be taken into account in these plans was also </w:t>
      </w:r>
      <w:r w:rsidR="009A19D8" w:rsidRPr="0098758D">
        <w:rPr>
          <w:sz w:val="21"/>
          <w:szCs w:val="21"/>
          <w:lang w:val="en-US"/>
        </w:rPr>
        <w:t xml:space="preserve">established </w:t>
      </w:r>
      <w:r w:rsidRPr="0098758D">
        <w:rPr>
          <w:sz w:val="21"/>
          <w:szCs w:val="21"/>
          <w:lang w:val="en-US"/>
        </w:rPr>
        <w:t xml:space="preserve">and is including the following points: </w:t>
      </w:r>
    </w:p>
    <w:p w:rsidR="003E7997" w:rsidRPr="0098758D" w:rsidRDefault="003E7997" w:rsidP="00216FE4">
      <w:pPr>
        <w:pStyle w:val="Paragraphedeliste"/>
        <w:numPr>
          <w:ilvl w:val="0"/>
          <w:numId w:val="3"/>
        </w:numPr>
        <w:spacing w:after="0"/>
        <w:jc w:val="both"/>
        <w:rPr>
          <w:sz w:val="21"/>
          <w:szCs w:val="21"/>
          <w:lang w:val="en-US"/>
        </w:rPr>
      </w:pPr>
      <w:r w:rsidRPr="0098758D">
        <w:rPr>
          <w:sz w:val="21"/>
          <w:szCs w:val="21"/>
          <w:lang w:val="en-US"/>
        </w:rPr>
        <w:t>an emergency inventory of positions / expositions to determine the impacts of such an event and to assess the consequences</w:t>
      </w:r>
      <w:r w:rsidR="00A90541" w:rsidRPr="0098758D">
        <w:rPr>
          <w:sz w:val="21"/>
          <w:szCs w:val="21"/>
          <w:lang w:val="en-US"/>
        </w:rPr>
        <w:t xml:space="preserve"> as well as the highest priorities</w:t>
      </w:r>
      <w:r w:rsidRPr="0098758D">
        <w:rPr>
          <w:sz w:val="21"/>
          <w:szCs w:val="21"/>
          <w:lang w:val="en-US"/>
        </w:rPr>
        <w:t>, analyze the existing documentation and products</w:t>
      </w:r>
      <w:r w:rsidR="009A19D8" w:rsidRPr="0098758D">
        <w:rPr>
          <w:sz w:val="21"/>
          <w:szCs w:val="21"/>
          <w:lang w:val="en-US"/>
        </w:rPr>
        <w:t>,</w:t>
      </w:r>
    </w:p>
    <w:p w:rsidR="003E7997" w:rsidRPr="0098758D" w:rsidRDefault="003E7997" w:rsidP="00216FE4">
      <w:pPr>
        <w:pStyle w:val="Paragraphedeliste"/>
        <w:numPr>
          <w:ilvl w:val="0"/>
          <w:numId w:val="3"/>
        </w:numPr>
        <w:jc w:val="both"/>
        <w:rPr>
          <w:sz w:val="21"/>
          <w:szCs w:val="21"/>
          <w:lang w:val="en-US"/>
        </w:rPr>
      </w:pPr>
      <w:r w:rsidRPr="0098758D">
        <w:rPr>
          <w:sz w:val="21"/>
          <w:szCs w:val="21"/>
          <w:lang w:val="en-US"/>
        </w:rPr>
        <w:t xml:space="preserve">as per the fallback clause, </w:t>
      </w:r>
      <w:r w:rsidR="00547EFB" w:rsidRPr="0098758D">
        <w:rPr>
          <w:sz w:val="21"/>
          <w:szCs w:val="21"/>
          <w:lang w:val="en-US"/>
        </w:rPr>
        <w:t>CA</w:t>
      </w:r>
      <w:r w:rsidR="00437CEE" w:rsidRPr="0098758D">
        <w:rPr>
          <w:sz w:val="21"/>
          <w:szCs w:val="21"/>
          <w:lang w:val="en-US"/>
        </w:rPr>
        <w:t>L&amp;F</w:t>
      </w:r>
      <w:r w:rsidR="0098758D" w:rsidRPr="0098758D">
        <w:rPr>
          <w:sz w:val="21"/>
          <w:szCs w:val="21"/>
          <w:lang w:val="en-US"/>
        </w:rPr>
        <w:t xml:space="preserve"> Group</w:t>
      </w:r>
      <w:r w:rsidRPr="0098758D">
        <w:rPr>
          <w:sz w:val="21"/>
          <w:szCs w:val="21"/>
          <w:lang w:val="en-US"/>
        </w:rPr>
        <w:t xml:space="preserve"> </w:t>
      </w:r>
      <w:r w:rsidR="00547EFB" w:rsidRPr="0098758D">
        <w:rPr>
          <w:sz w:val="21"/>
          <w:szCs w:val="21"/>
          <w:lang w:val="en-US"/>
        </w:rPr>
        <w:t>will</w:t>
      </w:r>
      <w:r w:rsidRPr="0098758D">
        <w:rPr>
          <w:sz w:val="21"/>
          <w:szCs w:val="21"/>
          <w:lang w:val="en-US"/>
        </w:rPr>
        <w:t xml:space="preserve"> </w:t>
      </w:r>
      <w:r w:rsidR="004B1204" w:rsidRPr="0098758D">
        <w:rPr>
          <w:sz w:val="21"/>
          <w:szCs w:val="21"/>
          <w:lang w:val="en-US"/>
        </w:rPr>
        <w:t xml:space="preserve">communicate, </w:t>
      </w:r>
      <w:r w:rsidRPr="0098758D">
        <w:rPr>
          <w:sz w:val="21"/>
          <w:szCs w:val="21"/>
          <w:lang w:val="en-US"/>
        </w:rPr>
        <w:t>propose and agree with the client a sustainable benchmark alternative if technically possible</w:t>
      </w:r>
      <w:r w:rsidR="001D4655" w:rsidRPr="0098758D">
        <w:rPr>
          <w:sz w:val="21"/>
          <w:szCs w:val="21"/>
          <w:lang w:val="en-US"/>
        </w:rPr>
        <w:t>,</w:t>
      </w:r>
    </w:p>
    <w:p w:rsidR="003E7997" w:rsidRPr="0098758D" w:rsidRDefault="00437CEE" w:rsidP="00216FE4">
      <w:pPr>
        <w:pStyle w:val="Paragraphedeliste"/>
        <w:numPr>
          <w:ilvl w:val="0"/>
          <w:numId w:val="3"/>
        </w:numPr>
        <w:jc w:val="both"/>
        <w:rPr>
          <w:sz w:val="21"/>
          <w:szCs w:val="21"/>
          <w:lang w:val="en-US"/>
        </w:rPr>
      </w:pPr>
      <w:r w:rsidRPr="0098758D">
        <w:rPr>
          <w:sz w:val="21"/>
          <w:szCs w:val="21"/>
          <w:lang w:val="en-US"/>
        </w:rPr>
        <w:t>CAL&amp;F</w:t>
      </w:r>
      <w:r w:rsidR="003E7997" w:rsidRPr="0098758D">
        <w:rPr>
          <w:sz w:val="21"/>
          <w:szCs w:val="21"/>
          <w:lang w:val="en-US"/>
        </w:rPr>
        <w:t xml:space="preserve"> </w:t>
      </w:r>
      <w:r w:rsidR="0098758D" w:rsidRPr="0098758D">
        <w:rPr>
          <w:sz w:val="21"/>
          <w:szCs w:val="21"/>
          <w:lang w:val="en-US"/>
        </w:rPr>
        <w:t xml:space="preserve">Group </w:t>
      </w:r>
      <w:r w:rsidR="003E7997" w:rsidRPr="0098758D">
        <w:rPr>
          <w:sz w:val="21"/>
          <w:szCs w:val="21"/>
          <w:lang w:val="en-US"/>
        </w:rPr>
        <w:t>may focus primarily on its major exposures and more sensitive clients</w:t>
      </w:r>
      <w:r w:rsidRPr="0098758D">
        <w:rPr>
          <w:sz w:val="21"/>
          <w:szCs w:val="21"/>
          <w:lang w:val="en-US"/>
        </w:rPr>
        <w:t xml:space="preserve"> (Factoring Business)</w:t>
      </w:r>
      <w:r w:rsidR="009A19D8" w:rsidRPr="0098758D">
        <w:rPr>
          <w:sz w:val="21"/>
          <w:szCs w:val="21"/>
          <w:lang w:val="en-US"/>
        </w:rPr>
        <w:t>,</w:t>
      </w:r>
    </w:p>
    <w:p w:rsidR="003E7997" w:rsidRPr="0098758D" w:rsidRDefault="003E7997" w:rsidP="00216FE4">
      <w:pPr>
        <w:pStyle w:val="Paragraphedeliste"/>
        <w:numPr>
          <w:ilvl w:val="0"/>
          <w:numId w:val="3"/>
        </w:numPr>
        <w:spacing w:after="0"/>
        <w:jc w:val="both"/>
        <w:rPr>
          <w:sz w:val="21"/>
          <w:szCs w:val="21"/>
          <w:lang w:val="en-US"/>
        </w:rPr>
      </w:pPr>
      <w:r w:rsidRPr="0098758D">
        <w:rPr>
          <w:sz w:val="21"/>
          <w:szCs w:val="21"/>
          <w:lang w:val="en-US"/>
        </w:rPr>
        <w:t>depending on the Benchmark</w:t>
      </w:r>
      <w:r w:rsidR="009A19D8" w:rsidRPr="0098758D">
        <w:rPr>
          <w:sz w:val="21"/>
          <w:szCs w:val="21"/>
          <w:lang w:val="en-US"/>
        </w:rPr>
        <w:t>’s</w:t>
      </w:r>
      <w:r w:rsidRPr="0098758D">
        <w:rPr>
          <w:sz w:val="21"/>
          <w:szCs w:val="21"/>
          <w:lang w:val="en-US"/>
        </w:rPr>
        <w:t xml:space="preserve"> type (critical, significant, non-significant), </w:t>
      </w:r>
      <w:r w:rsidR="00437CEE" w:rsidRPr="0098758D">
        <w:rPr>
          <w:sz w:val="21"/>
          <w:szCs w:val="21"/>
          <w:lang w:val="en-US"/>
        </w:rPr>
        <w:t>CAL&amp;F</w:t>
      </w:r>
      <w:r w:rsidRPr="0098758D">
        <w:rPr>
          <w:sz w:val="21"/>
          <w:szCs w:val="21"/>
          <w:lang w:val="en-US"/>
        </w:rPr>
        <w:t xml:space="preserve"> </w:t>
      </w:r>
      <w:r w:rsidR="0098758D" w:rsidRPr="0098758D">
        <w:rPr>
          <w:sz w:val="21"/>
          <w:szCs w:val="21"/>
          <w:lang w:val="en-US"/>
        </w:rPr>
        <w:t xml:space="preserve">Group </w:t>
      </w:r>
      <w:r w:rsidRPr="0098758D">
        <w:rPr>
          <w:sz w:val="21"/>
          <w:szCs w:val="21"/>
          <w:lang w:val="en-US"/>
        </w:rPr>
        <w:t>shall liaise with the relevant trade association or working group to seek guidance and a single outcome to</w:t>
      </w:r>
      <w:r w:rsidR="00437CEE" w:rsidRPr="0098758D">
        <w:rPr>
          <w:sz w:val="21"/>
          <w:szCs w:val="21"/>
          <w:lang w:val="en-US"/>
        </w:rPr>
        <w:t xml:space="preserve"> avoid any market fragmentation.</w:t>
      </w:r>
    </w:p>
    <w:p w:rsidR="003E7997" w:rsidRPr="0098758D" w:rsidRDefault="003E7997" w:rsidP="00216FE4">
      <w:pPr>
        <w:jc w:val="both"/>
        <w:rPr>
          <w:sz w:val="21"/>
          <w:szCs w:val="21"/>
          <w:lang w:val="en-US"/>
        </w:rPr>
      </w:pPr>
    </w:p>
    <w:p w:rsidR="003E7997" w:rsidRPr="0098758D" w:rsidRDefault="003E7997" w:rsidP="00216FE4">
      <w:pPr>
        <w:jc w:val="both"/>
        <w:rPr>
          <w:sz w:val="21"/>
          <w:szCs w:val="21"/>
          <w:lang w:val="en-US"/>
        </w:rPr>
      </w:pPr>
      <w:r w:rsidRPr="0098758D">
        <w:rPr>
          <w:sz w:val="21"/>
          <w:szCs w:val="21"/>
          <w:lang w:val="en-US"/>
        </w:rPr>
        <w:t xml:space="preserve">A responsibility assignment matrix and an escalation process were also put in place to describe the participation by the various departments and function of </w:t>
      </w:r>
      <w:r w:rsidR="00437CEE" w:rsidRPr="0098758D">
        <w:rPr>
          <w:sz w:val="21"/>
          <w:szCs w:val="21"/>
          <w:lang w:val="en-US"/>
        </w:rPr>
        <w:t>CAL&amp;F</w:t>
      </w:r>
      <w:r w:rsidRPr="0098758D">
        <w:rPr>
          <w:sz w:val="21"/>
          <w:szCs w:val="21"/>
          <w:lang w:val="en-US"/>
        </w:rPr>
        <w:t xml:space="preserve"> </w:t>
      </w:r>
      <w:r w:rsidR="0098758D" w:rsidRPr="0098758D">
        <w:rPr>
          <w:sz w:val="21"/>
          <w:szCs w:val="21"/>
          <w:lang w:val="en-US"/>
        </w:rPr>
        <w:t xml:space="preserve">Group </w:t>
      </w:r>
      <w:r w:rsidRPr="0098758D">
        <w:rPr>
          <w:sz w:val="21"/>
          <w:szCs w:val="21"/>
          <w:lang w:val="en-US"/>
        </w:rPr>
        <w:t xml:space="preserve">to handle and take part in these plans as quickly and effectively as possible. </w:t>
      </w:r>
    </w:p>
    <w:p w:rsidR="00AA6388" w:rsidRPr="0098758D" w:rsidRDefault="00C9709A" w:rsidP="00216FE4">
      <w:pPr>
        <w:jc w:val="both"/>
        <w:rPr>
          <w:sz w:val="21"/>
          <w:szCs w:val="21"/>
          <w:lang w:val="en-US"/>
        </w:rPr>
      </w:pPr>
      <w:r w:rsidRPr="0098758D">
        <w:rPr>
          <w:sz w:val="21"/>
          <w:szCs w:val="21"/>
          <w:lang w:val="en-US"/>
        </w:rPr>
        <w:t>As a reminder, t</w:t>
      </w:r>
      <w:r w:rsidR="00AA6388" w:rsidRPr="0098758D">
        <w:rPr>
          <w:sz w:val="21"/>
          <w:szCs w:val="21"/>
          <w:lang w:val="en-US"/>
        </w:rPr>
        <w:t>his publication only provides general information background regarding these potential issues</w:t>
      </w:r>
      <w:r w:rsidRPr="0098758D">
        <w:rPr>
          <w:sz w:val="21"/>
          <w:szCs w:val="21"/>
          <w:lang w:val="en-US"/>
        </w:rPr>
        <w:t xml:space="preserve"> and regulatory obligations</w:t>
      </w:r>
      <w:r w:rsidR="00AA6388" w:rsidRPr="0098758D">
        <w:rPr>
          <w:sz w:val="21"/>
          <w:szCs w:val="21"/>
          <w:lang w:val="en-US"/>
        </w:rPr>
        <w:t xml:space="preserve">. </w:t>
      </w:r>
    </w:p>
    <w:p w:rsidR="00AA6388" w:rsidRPr="0098758D" w:rsidRDefault="00437CEE" w:rsidP="00216FE4">
      <w:pPr>
        <w:jc w:val="both"/>
        <w:rPr>
          <w:sz w:val="21"/>
          <w:szCs w:val="21"/>
          <w:lang w:val="en-US"/>
        </w:rPr>
      </w:pPr>
      <w:r w:rsidRPr="0098758D">
        <w:rPr>
          <w:sz w:val="21"/>
          <w:szCs w:val="21"/>
          <w:lang w:val="en-US"/>
        </w:rPr>
        <w:t>CAL&amp;F</w:t>
      </w:r>
      <w:r w:rsidR="00AA6388" w:rsidRPr="0098758D">
        <w:rPr>
          <w:sz w:val="21"/>
          <w:szCs w:val="21"/>
          <w:lang w:val="en-US"/>
        </w:rPr>
        <w:t xml:space="preserve"> </w:t>
      </w:r>
      <w:r w:rsidR="0098758D" w:rsidRPr="0098758D">
        <w:rPr>
          <w:sz w:val="21"/>
          <w:szCs w:val="21"/>
          <w:lang w:val="en-US"/>
        </w:rPr>
        <w:t xml:space="preserve">Group </w:t>
      </w:r>
      <w:r w:rsidR="00AA6388" w:rsidRPr="0098758D">
        <w:rPr>
          <w:sz w:val="21"/>
          <w:szCs w:val="21"/>
          <w:lang w:val="en-US"/>
        </w:rPr>
        <w:t xml:space="preserve">is </w:t>
      </w:r>
      <w:r w:rsidR="00C9709A" w:rsidRPr="0098758D">
        <w:rPr>
          <w:sz w:val="21"/>
          <w:szCs w:val="21"/>
          <w:lang w:val="en-US"/>
        </w:rPr>
        <w:t xml:space="preserve">internally </w:t>
      </w:r>
      <w:r w:rsidR="00AA6388" w:rsidRPr="0098758D">
        <w:rPr>
          <w:sz w:val="21"/>
          <w:szCs w:val="21"/>
          <w:lang w:val="en-US"/>
        </w:rPr>
        <w:t xml:space="preserve">maintaining and updating when </w:t>
      </w:r>
      <w:r w:rsidR="009A19D8" w:rsidRPr="0098758D">
        <w:rPr>
          <w:sz w:val="21"/>
          <w:szCs w:val="21"/>
          <w:lang w:val="en-US"/>
        </w:rPr>
        <w:t xml:space="preserve">adequate </w:t>
      </w:r>
      <w:r w:rsidR="00773532" w:rsidRPr="0098758D">
        <w:rPr>
          <w:sz w:val="21"/>
          <w:szCs w:val="21"/>
          <w:lang w:val="en-US"/>
        </w:rPr>
        <w:t xml:space="preserve">more </w:t>
      </w:r>
      <w:r w:rsidR="00AA6388" w:rsidRPr="0098758D">
        <w:rPr>
          <w:sz w:val="21"/>
          <w:szCs w:val="21"/>
          <w:lang w:val="en-US"/>
        </w:rPr>
        <w:t>detailed and robust written contingency plans.</w:t>
      </w:r>
    </w:p>
    <w:p w:rsidR="00AA6388" w:rsidRPr="005D28F2" w:rsidRDefault="00AA6388" w:rsidP="00216FE4">
      <w:pPr>
        <w:jc w:val="both"/>
        <w:rPr>
          <w:sz w:val="21"/>
          <w:szCs w:val="21"/>
          <w:lang w:val="en-US"/>
        </w:rPr>
      </w:pPr>
      <w:r w:rsidRPr="0098758D">
        <w:rPr>
          <w:sz w:val="21"/>
          <w:szCs w:val="21"/>
          <w:lang w:val="en-US"/>
        </w:rPr>
        <w:t xml:space="preserve">This publication </w:t>
      </w:r>
      <w:r w:rsidR="00C9709A" w:rsidRPr="0098758D">
        <w:rPr>
          <w:sz w:val="21"/>
          <w:szCs w:val="21"/>
          <w:lang w:val="en-US"/>
        </w:rPr>
        <w:t xml:space="preserve">and internal plans </w:t>
      </w:r>
      <w:r w:rsidRPr="0098758D">
        <w:rPr>
          <w:sz w:val="21"/>
          <w:szCs w:val="21"/>
          <w:lang w:val="en-US"/>
        </w:rPr>
        <w:t xml:space="preserve">may also be </w:t>
      </w:r>
      <w:r w:rsidR="00C9709A" w:rsidRPr="0098758D">
        <w:rPr>
          <w:sz w:val="21"/>
          <w:szCs w:val="21"/>
          <w:lang w:val="en-US"/>
        </w:rPr>
        <w:t>subject</w:t>
      </w:r>
      <w:r w:rsidRPr="0098758D">
        <w:rPr>
          <w:sz w:val="21"/>
          <w:szCs w:val="21"/>
          <w:lang w:val="en-US"/>
        </w:rPr>
        <w:t xml:space="preserve"> to updates without notice and especially in case where the regulation would change</w:t>
      </w:r>
      <w:r w:rsidR="00C9709A" w:rsidRPr="0098758D">
        <w:rPr>
          <w:sz w:val="21"/>
          <w:szCs w:val="21"/>
          <w:lang w:val="en-US"/>
        </w:rPr>
        <w:t xml:space="preserve"> or any other cases where adjustments will need to be considered</w:t>
      </w:r>
      <w:r w:rsidRPr="0098758D">
        <w:rPr>
          <w:sz w:val="21"/>
          <w:szCs w:val="21"/>
          <w:lang w:val="en-US"/>
        </w:rPr>
        <w:t>.</w:t>
      </w:r>
      <w:r w:rsidRPr="005D28F2">
        <w:rPr>
          <w:sz w:val="21"/>
          <w:szCs w:val="21"/>
          <w:lang w:val="en-US"/>
        </w:rPr>
        <w:t xml:space="preserve">  </w:t>
      </w:r>
    </w:p>
    <w:sectPr w:rsidR="00AA6388" w:rsidRPr="005D28F2" w:rsidSect="003E7997">
      <w:footerReference w:type="default"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DF1" w:rsidRDefault="00CC0DF1" w:rsidP="00E72956">
      <w:pPr>
        <w:spacing w:after="0" w:line="240" w:lineRule="auto"/>
      </w:pPr>
      <w:r>
        <w:separator/>
      </w:r>
    </w:p>
  </w:endnote>
  <w:endnote w:type="continuationSeparator" w:id="0">
    <w:p w:rsidR="00CC0DF1" w:rsidRDefault="00CC0DF1" w:rsidP="00E72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UI"/>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489218"/>
      <w:docPartObj>
        <w:docPartGallery w:val="Page Numbers (Bottom of Page)"/>
        <w:docPartUnique/>
      </w:docPartObj>
    </w:sdtPr>
    <w:sdtEndPr>
      <w:rPr>
        <w:color w:val="808080" w:themeColor="background1" w:themeShade="80"/>
        <w:spacing w:val="60"/>
      </w:rPr>
    </w:sdtEndPr>
    <w:sdtContent>
      <w:p w:rsidR="00103587" w:rsidRDefault="00103587">
        <w:pPr>
          <w:pStyle w:val="Pieddepage"/>
          <w:pBdr>
            <w:top w:val="single" w:sz="4" w:space="1" w:color="D9D9D9" w:themeColor="background1" w:themeShade="D9"/>
          </w:pBdr>
          <w:rPr>
            <w:b/>
            <w:bCs/>
          </w:rPr>
        </w:pPr>
        <w:r>
          <w:fldChar w:fldCharType="begin"/>
        </w:r>
        <w:r>
          <w:instrText xml:space="preserve"> PAGE   \* MERGEFORMAT </w:instrText>
        </w:r>
        <w:r>
          <w:fldChar w:fldCharType="separate"/>
        </w:r>
        <w:r w:rsidR="005F39D6" w:rsidRPr="005F39D6">
          <w:rPr>
            <w:b/>
            <w:bCs/>
            <w:noProof/>
          </w:rPr>
          <w:t>1</w:t>
        </w:r>
        <w:r>
          <w:rPr>
            <w:b/>
            <w:bCs/>
            <w:noProof/>
          </w:rPr>
          <w:fldChar w:fldCharType="end"/>
        </w:r>
        <w:r>
          <w:rPr>
            <w:b/>
            <w:bCs/>
          </w:rPr>
          <w:t xml:space="preserve"> | </w:t>
        </w:r>
        <w:r>
          <w:rPr>
            <w:color w:val="808080" w:themeColor="background1" w:themeShade="80"/>
            <w:spacing w:val="60"/>
          </w:rPr>
          <w:t>Page</w:t>
        </w:r>
      </w:p>
    </w:sdtContent>
  </w:sdt>
  <w:p w:rsidR="00103587" w:rsidRDefault="0010358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DF1" w:rsidRDefault="00CC0DF1" w:rsidP="00E72956">
      <w:pPr>
        <w:spacing w:after="0" w:line="240" w:lineRule="auto"/>
      </w:pPr>
      <w:r>
        <w:separator/>
      </w:r>
    </w:p>
  </w:footnote>
  <w:footnote w:type="continuationSeparator" w:id="0">
    <w:p w:rsidR="00CC0DF1" w:rsidRDefault="00CC0DF1" w:rsidP="00E72956">
      <w:pPr>
        <w:spacing w:after="0" w:line="240" w:lineRule="auto"/>
      </w:pPr>
      <w:r>
        <w:continuationSeparator/>
      </w:r>
    </w:p>
  </w:footnote>
  <w:footnote w:id="1">
    <w:p w:rsidR="00AA6388" w:rsidRPr="005D28F2" w:rsidRDefault="00AA6388" w:rsidP="00216FE4">
      <w:pPr>
        <w:pStyle w:val="Notedebasdepage"/>
        <w:jc w:val="both"/>
        <w:rPr>
          <w:sz w:val="18"/>
          <w:szCs w:val="18"/>
          <w:lang w:val="en-US"/>
        </w:rPr>
      </w:pPr>
      <w:r w:rsidRPr="0098758D">
        <w:rPr>
          <w:rStyle w:val="Appelnotedebasdep"/>
          <w:sz w:val="18"/>
          <w:szCs w:val="18"/>
        </w:rPr>
        <w:footnoteRef/>
      </w:r>
      <w:r w:rsidRPr="0098758D">
        <w:rPr>
          <w:sz w:val="18"/>
          <w:szCs w:val="18"/>
          <w:lang w:val="en-US"/>
        </w:rPr>
        <w:t xml:space="preserve"> “</w:t>
      </w:r>
      <w:r w:rsidRPr="0098758D">
        <w:rPr>
          <w:i/>
          <w:sz w:val="18"/>
          <w:szCs w:val="18"/>
          <w:lang w:val="en-US"/>
        </w:rPr>
        <w:t>Supervised entities other than an administrator as referred to in paragraph 1 that use a benchmark shall produce and maintain robust written plans setting out the actions that they would take in the event that a benchmark materially changes or ceases to be provided. Where feasible and appropriate, such plans shall nominate one or several alternative benchmarks that could be referenced to substitute the benchmarks no longer provided, indicating why such benchmarks would be suitable alternatives. The supervised entities shall, upon request, provide the relevant competent authority with those plans and any updates and shall reflect them in the contractual relationship with clients</w:t>
      </w:r>
      <w:r w:rsidRPr="0098758D">
        <w:rPr>
          <w:sz w:val="18"/>
          <w:szCs w:val="18"/>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038A"/>
    <w:multiLevelType w:val="hybridMultilevel"/>
    <w:tmpl w:val="C67ADBA0"/>
    <w:lvl w:ilvl="0" w:tplc="040C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443A58"/>
    <w:multiLevelType w:val="hybridMultilevel"/>
    <w:tmpl w:val="E39ED826"/>
    <w:lvl w:ilvl="0" w:tplc="040C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7A59FB"/>
    <w:multiLevelType w:val="hybridMultilevel"/>
    <w:tmpl w:val="DC44D570"/>
    <w:lvl w:ilvl="0" w:tplc="B688159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5A5DFD"/>
    <w:multiLevelType w:val="hybridMultilevel"/>
    <w:tmpl w:val="AB0C897E"/>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436B82"/>
    <w:multiLevelType w:val="hybridMultilevel"/>
    <w:tmpl w:val="54A26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7222B5"/>
    <w:multiLevelType w:val="hybridMultilevel"/>
    <w:tmpl w:val="69FA0F8C"/>
    <w:lvl w:ilvl="0" w:tplc="040C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7DD3CF7"/>
    <w:multiLevelType w:val="hybridMultilevel"/>
    <w:tmpl w:val="EF4CFA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BAA6047"/>
    <w:multiLevelType w:val="hybridMultilevel"/>
    <w:tmpl w:val="A434D9F8"/>
    <w:lvl w:ilvl="0" w:tplc="040C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0A13BA3"/>
    <w:multiLevelType w:val="hybridMultilevel"/>
    <w:tmpl w:val="9BCEDE92"/>
    <w:lvl w:ilvl="0" w:tplc="B49C5BAE">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7236951"/>
    <w:multiLevelType w:val="hybridMultilevel"/>
    <w:tmpl w:val="24F8B25A"/>
    <w:lvl w:ilvl="0" w:tplc="F218180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9FC2615"/>
    <w:multiLevelType w:val="hybridMultilevel"/>
    <w:tmpl w:val="552E1A26"/>
    <w:lvl w:ilvl="0" w:tplc="040C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2987A87"/>
    <w:multiLevelType w:val="hybridMultilevel"/>
    <w:tmpl w:val="BE7E92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3DF78F4"/>
    <w:multiLevelType w:val="hybridMultilevel"/>
    <w:tmpl w:val="B810F584"/>
    <w:lvl w:ilvl="0" w:tplc="AA1EB426">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9"/>
  </w:num>
  <w:num w:numId="4">
    <w:abstractNumId w:val="8"/>
  </w:num>
  <w:num w:numId="5">
    <w:abstractNumId w:val="12"/>
  </w:num>
  <w:num w:numId="6">
    <w:abstractNumId w:val="2"/>
  </w:num>
  <w:num w:numId="7">
    <w:abstractNumId w:val="4"/>
  </w:num>
  <w:num w:numId="8">
    <w:abstractNumId w:val="3"/>
  </w:num>
  <w:num w:numId="9">
    <w:abstractNumId w:val="10"/>
  </w:num>
  <w:num w:numId="10">
    <w:abstractNumId w:val="0"/>
  </w:num>
  <w:num w:numId="11">
    <w:abstractNumId w:val="7"/>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B85"/>
    <w:rsid w:val="00011595"/>
    <w:rsid w:val="000144E0"/>
    <w:rsid w:val="0005384F"/>
    <w:rsid w:val="00066E7E"/>
    <w:rsid w:val="00087305"/>
    <w:rsid w:val="000B4C3F"/>
    <w:rsid w:val="000B6690"/>
    <w:rsid w:val="000D4B8A"/>
    <w:rsid w:val="000F08E0"/>
    <w:rsid w:val="00103587"/>
    <w:rsid w:val="001306BC"/>
    <w:rsid w:val="00140384"/>
    <w:rsid w:val="00147060"/>
    <w:rsid w:val="001521F9"/>
    <w:rsid w:val="00184189"/>
    <w:rsid w:val="00190BDC"/>
    <w:rsid w:val="001A3E13"/>
    <w:rsid w:val="001A79B0"/>
    <w:rsid w:val="001B4D79"/>
    <w:rsid w:val="001B50BA"/>
    <w:rsid w:val="001C101B"/>
    <w:rsid w:val="001C2B89"/>
    <w:rsid w:val="001D4655"/>
    <w:rsid w:val="001E1C08"/>
    <w:rsid w:val="001F5870"/>
    <w:rsid w:val="00203CAF"/>
    <w:rsid w:val="00204BE0"/>
    <w:rsid w:val="00216E8B"/>
    <w:rsid w:val="00216FE4"/>
    <w:rsid w:val="00222E68"/>
    <w:rsid w:val="002326F3"/>
    <w:rsid w:val="00234F55"/>
    <w:rsid w:val="0024072F"/>
    <w:rsid w:val="002867F3"/>
    <w:rsid w:val="00294D94"/>
    <w:rsid w:val="002A02BB"/>
    <w:rsid w:val="002C030B"/>
    <w:rsid w:val="002C3FB1"/>
    <w:rsid w:val="002D6113"/>
    <w:rsid w:val="002F06A4"/>
    <w:rsid w:val="002F1D99"/>
    <w:rsid w:val="002F715D"/>
    <w:rsid w:val="003038CA"/>
    <w:rsid w:val="00305665"/>
    <w:rsid w:val="00317597"/>
    <w:rsid w:val="00321DA1"/>
    <w:rsid w:val="00322405"/>
    <w:rsid w:val="003226C8"/>
    <w:rsid w:val="003309E0"/>
    <w:rsid w:val="00337CF9"/>
    <w:rsid w:val="003467A5"/>
    <w:rsid w:val="00357571"/>
    <w:rsid w:val="0036273E"/>
    <w:rsid w:val="003632CA"/>
    <w:rsid w:val="003761CD"/>
    <w:rsid w:val="003A3813"/>
    <w:rsid w:val="003B641F"/>
    <w:rsid w:val="003C27CB"/>
    <w:rsid w:val="003D4AEB"/>
    <w:rsid w:val="003D60F3"/>
    <w:rsid w:val="003E0E9F"/>
    <w:rsid w:val="003E7997"/>
    <w:rsid w:val="003F0C40"/>
    <w:rsid w:val="003F2012"/>
    <w:rsid w:val="003F7334"/>
    <w:rsid w:val="00406ED9"/>
    <w:rsid w:val="00407E77"/>
    <w:rsid w:val="00413A7B"/>
    <w:rsid w:val="004247DE"/>
    <w:rsid w:val="00437CEE"/>
    <w:rsid w:val="00450117"/>
    <w:rsid w:val="004547AA"/>
    <w:rsid w:val="00476234"/>
    <w:rsid w:val="00482C91"/>
    <w:rsid w:val="004A6FBB"/>
    <w:rsid w:val="004B09A8"/>
    <w:rsid w:val="004B1204"/>
    <w:rsid w:val="00500ED3"/>
    <w:rsid w:val="005051FB"/>
    <w:rsid w:val="00530DB0"/>
    <w:rsid w:val="00531E86"/>
    <w:rsid w:val="00536CDE"/>
    <w:rsid w:val="00547EFB"/>
    <w:rsid w:val="00575C08"/>
    <w:rsid w:val="00582EA3"/>
    <w:rsid w:val="005964B4"/>
    <w:rsid w:val="005A106A"/>
    <w:rsid w:val="005A6EDC"/>
    <w:rsid w:val="005A72ED"/>
    <w:rsid w:val="005D28F2"/>
    <w:rsid w:val="005E0DDF"/>
    <w:rsid w:val="005F39D6"/>
    <w:rsid w:val="006046A2"/>
    <w:rsid w:val="0065033C"/>
    <w:rsid w:val="0066392F"/>
    <w:rsid w:val="00665840"/>
    <w:rsid w:val="00665B11"/>
    <w:rsid w:val="00676532"/>
    <w:rsid w:val="00681B07"/>
    <w:rsid w:val="00697BED"/>
    <w:rsid w:val="00697D3A"/>
    <w:rsid w:val="006A7A97"/>
    <w:rsid w:val="006B41D4"/>
    <w:rsid w:val="006D2847"/>
    <w:rsid w:val="006E245F"/>
    <w:rsid w:val="006E438C"/>
    <w:rsid w:val="00716460"/>
    <w:rsid w:val="00730542"/>
    <w:rsid w:val="0073385D"/>
    <w:rsid w:val="0076120D"/>
    <w:rsid w:val="007616A2"/>
    <w:rsid w:val="00773532"/>
    <w:rsid w:val="007737AA"/>
    <w:rsid w:val="00774150"/>
    <w:rsid w:val="007774E8"/>
    <w:rsid w:val="007933B7"/>
    <w:rsid w:val="007A1F42"/>
    <w:rsid w:val="007C0D97"/>
    <w:rsid w:val="007C1908"/>
    <w:rsid w:val="007D58E8"/>
    <w:rsid w:val="00825F10"/>
    <w:rsid w:val="0083094B"/>
    <w:rsid w:val="0083490A"/>
    <w:rsid w:val="00836D23"/>
    <w:rsid w:val="008B1987"/>
    <w:rsid w:val="008C1CD3"/>
    <w:rsid w:val="008C3F71"/>
    <w:rsid w:val="008E207A"/>
    <w:rsid w:val="009135E3"/>
    <w:rsid w:val="00923C35"/>
    <w:rsid w:val="00927C04"/>
    <w:rsid w:val="00930B93"/>
    <w:rsid w:val="00936022"/>
    <w:rsid w:val="0096061D"/>
    <w:rsid w:val="00980E07"/>
    <w:rsid w:val="0098758D"/>
    <w:rsid w:val="00990A2C"/>
    <w:rsid w:val="009A19D8"/>
    <w:rsid w:val="009B2159"/>
    <w:rsid w:val="009B6CA4"/>
    <w:rsid w:val="009C0041"/>
    <w:rsid w:val="009C0C42"/>
    <w:rsid w:val="009E43FB"/>
    <w:rsid w:val="00A0085E"/>
    <w:rsid w:val="00A310ED"/>
    <w:rsid w:val="00A41B2B"/>
    <w:rsid w:val="00A41EA6"/>
    <w:rsid w:val="00A53B95"/>
    <w:rsid w:val="00A760A5"/>
    <w:rsid w:val="00A90541"/>
    <w:rsid w:val="00A9186E"/>
    <w:rsid w:val="00AA0718"/>
    <w:rsid w:val="00AA6388"/>
    <w:rsid w:val="00AD544F"/>
    <w:rsid w:val="00AD6F39"/>
    <w:rsid w:val="00AF160A"/>
    <w:rsid w:val="00B0191E"/>
    <w:rsid w:val="00B03037"/>
    <w:rsid w:val="00B12B85"/>
    <w:rsid w:val="00B607C6"/>
    <w:rsid w:val="00B7381C"/>
    <w:rsid w:val="00B92DA9"/>
    <w:rsid w:val="00B9506C"/>
    <w:rsid w:val="00BC018E"/>
    <w:rsid w:val="00BC6C4E"/>
    <w:rsid w:val="00BD2550"/>
    <w:rsid w:val="00C06B4F"/>
    <w:rsid w:val="00C166A8"/>
    <w:rsid w:val="00C42825"/>
    <w:rsid w:val="00C532E0"/>
    <w:rsid w:val="00C56B99"/>
    <w:rsid w:val="00C6765C"/>
    <w:rsid w:val="00C76F0F"/>
    <w:rsid w:val="00C90E41"/>
    <w:rsid w:val="00C9709A"/>
    <w:rsid w:val="00CC0DF1"/>
    <w:rsid w:val="00CC5E32"/>
    <w:rsid w:val="00CD5073"/>
    <w:rsid w:val="00D00FCE"/>
    <w:rsid w:val="00D33F7C"/>
    <w:rsid w:val="00D65450"/>
    <w:rsid w:val="00D65915"/>
    <w:rsid w:val="00D72FB5"/>
    <w:rsid w:val="00D87784"/>
    <w:rsid w:val="00D90775"/>
    <w:rsid w:val="00D94EFF"/>
    <w:rsid w:val="00DB2F8D"/>
    <w:rsid w:val="00DF7578"/>
    <w:rsid w:val="00E174E1"/>
    <w:rsid w:val="00E1769A"/>
    <w:rsid w:val="00E45F64"/>
    <w:rsid w:val="00E50AE0"/>
    <w:rsid w:val="00E5587E"/>
    <w:rsid w:val="00E56562"/>
    <w:rsid w:val="00E64CCA"/>
    <w:rsid w:val="00E72956"/>
    <w:rsid w:val="00E8781B"/>
    <w:rsid w:val="00EA7662"/>
    <w:rsid w:val="00EB646F"/>
    <w:rsid w:val="00EC5AF6"/>
    <w:rsid w:val="00ED172C"/>
    <w:rsid w:val="00ED349B"/>
    <w:rsid w:val="00ED77C6"/>
    <w:rsid w:val="00EE5AE8"/>
    <w:rsid w:val="00EF14AD"/>
    <w:rsid w:val="00EF1D49"/>
    <w:rsid w:val="00F15AEC"/>
    <w:rsid w:val="00F15BB2"/>
    <w:rsid w:val="00F347BA"/>
    <w:rsid w:val="00F46EF3"/>
    <w:rsid w:val="00F53032"/>
    <w:rsid w:val="00F65DE2"/>
    <w:rsid w:val="00F75156"/>
    <w:rsid w:val="00F77F48"/>
    <w:rsid w:val="00FB2A8D"/>
    <w:rsid w:val="00FD35DF"/>
    <w:rsid w:val="00FD3AD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D257E4-EE3B-4559-B7ED-4A3B50E07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2A02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665B1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82EA3"/>
    <w:pPr>
      <w:ind w:left="720"/>
      <w:contextualSpacing/>
    </w:pPr>
  </w:style>
  <w:style w:type="paragraph" w:styleId="Titre">
    <w:name w:val="Title"/>
    <w:basedOn w:val="Normal"/>
    <w:next w:val="Normal"/>
    <w:link w:val="TitreCar"/>
    <w:uiPriority w:val="10"/>
    <w:qFormat/>
    <w:rsid w:val="002A02B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A02BB"/>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2A02BB"/>
    <w:rPr>
      <w:rFonts w:asciiTheme="majorHAnsi" w:eastAsiaTheme="majorEastAsia" w:hAnsiTheme="majorHAnsi" w:cstheme="majorBidi"/>
      <w:color w:val="2E74B5" w:themeColor="accent1" w:themeShade="BF"/>
      <w:sz w:val="32"/>
      <w:szCs w:val="32"/>
    </w:rPr>
  </w:style>
  <w:style w:type="paragraph" w:styleId="Sous-titre">
    <w:name w:val="Subtitle"/>
    <w:basedOn w:val="Normal"/>
    <w:next w:val="Normal"/>
    <w:link w:val="Sous-titreCar"/>
    <w:uiPriority w:val="11"/>
    <w:qFormat/>
    <w:rsid w:val="002A02BB"/>
    <w:pPr>
      <w:numPr>
        <w:ilvl w:val="1"/>
      </w:numPr>
    </w:pPr>
    <w:rPr>
      <w:color w:val="5A5A5A" w:themeColor="text1" w:themeTint="A5"/>
      <w:spacing w:val="15"/>
    </w:rPr>
  </w:style>
  <w:style w:type="character" w:customStyle="1" w:styleId="Sous-titreCar">
    <w:name w:val="Sous-titre Car"/>
    <w:basedOn w:val="Policepardfaut"/>
    <w:link w:val="Sous-titre"/>
    <w:uiPriority w:val="11"/>
    <w:rsid w:val="002A02BB"/>
    <w:rPr>
      <w:color w:val="5A5A5A" w:themeColor="text1" w:themeTint="A5"/>
      <w:spacing w:val="15"/>
    </w:rPr>
  </w:style>
  <w:style w:type="paragraph" w:styleId="Textedebulles">
    <w:name w:val="Balloon Text"/>
    <w:basedOn w:val="Normal"/>
    <w:link w:val="TextedebullesCar"/>
    <w:uiPriority w:val="99"/>
    <w:semiHidden/>
    <w:unhideWhenUsed/>
    <w:rsid w:val="00482C9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82C91"/>
    <w:rPr>
      <w:rFonts w:ascii="Segoe UI" w:hAnsi="Segoe UI" w:cs="Segoe UI"/>
      <w:sz w:val="18"/>
      <w:szCs w:val="18"/>
    </w:rPr>
  </w:style>
  <w:style w:type="paragraph" w:styleId="Notedebasdepage">
    <w:name w:val="footnote text"/>
    <w:basedOn w:val="Normal"/>
    <w:link w:val="NotedebasdepageCar"/>
    <w:uiPriority w:val="99"/>
    <w:semiHidden/>
    <w:unhideWhenUsed/>
    <w:rsid w:val="00E7295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72956"/>
    <w:rPr>
      <w:sz w:val="20"/>
      <w:szCs w:val="20"/>
    </w:rPr>
  </w:style>
  <w:style w:type="character" w:styleId="Appelnotedebasdep">
    <w:name w:val="footnote reference"/>
    <w:basedOn w:val="Policepardfaut"/>
    <w:uiPriority w:val="99"/>
    <w:semiHidden/>
    <w:unhideWhenUsed/>
    <w:rsid w:val="00E72956"/>
    <w:rPr>
      <w:vertAlign w:val="superscript"/>
    </w:rPr>
  </w:style>
  <w:style w:type="character" w:styleId="Lienhypertexte">
    <w:name w:val="Hyperlink"/>
    <w:basedOn w:val="Policepardfaut"/>
    <w:uiPriority w:val="99"/>
    <w:unhideWhenUsed/>
    <w:rsid w:val="00C56B99"/>
    <w:rPr>
      <w:color w:val="0563C1" w:themeColor="hyperlink"/>
      <w:u w:val="single"/>
    </w:rPr>
  </w:style>
  <w:style w:type="character" w:customStyle="1" w:styleId="Titre2Car">
    <w:name w:val="Titre 2 Car"/>
    <w:basedOn w:val="Policepardfaut"/>
    <w:link w:val="Titre2"/>
    <w:uiPriority w:val="9"/>
    <w:semiHidden/>
    <w:rsid w:val="00665B11"/>
    <w:rPr>
      <w:rFonts w:asciiTheme="majorHAnsi" w:eastAsiaTheme="majorEastAsia" w:hAnsiTheme="majorHAnsi" w:cstheme="majorBidi"/>
      <w:b/>
      <w:bCs/>
      <w:color w:val="5B9BD5" w:themeColor="accent1"/>
      <w:sz w:val="26"/>
      <w:szCs w:val="26"/>
    </w:rPr>
  </w:style>
  <w:style w:type="character" w:styleId="Emphaseintense">
    <w:name w:val="Intense Emphasis"/>
    <w:basedOn w:val="Policepardfaut"/>
    <w:uiPriority w:val="21"/>
    <w:qFormat/>
    <w:rsid w:val="00665B11"/>
    <w:rPr>
      <w:i/>
      <w:iCs/>
      <w:color w:val="5B9BD5" w:themeColor="accent1"/>
    </w:rPr>
  </w:style>
  <w:style w:type="character" w:styleId="Marquedecommentaire">
    <w:name w:val="annotation reference"/>
    <w:basedOn w:val="Policepardfaut"/>
    <w:uiPriority w:val="99"/>
    <w:semiHidden/>
    <w:unhideWhenUsed/>
    <w:rsid w:val="001A79B0"/>
    <w:rPr>
      <w:sz w:val="16"/>
      <w:szCs w:val="16"/>
    </w:rPr>
  </w:style>
  <w:style w:type="paragraph" w:styleId="Commentaire">
    <w:name w:val="annotation text"/>
    <w:basedOn w:val="Normal"/>
    <w:link w:val="CommentaireCar"/>
    <w:uiPriority w:val="99"/>
    <w:semiHidden/>
    <w:unhideWhenUsed/>
    <w:rsid w:val="001A79B0"/>
    <w:pPr>
      <w:spacing w:line="240" w:lineRule="auto"/>
    </w:pPr>
    <w:rPr>
      <w:sz w:val="20"/>
      <w:szCs w:val="20"/>
    </w:rPr>
  </w:style>
  <w:style w:type="character" w:customStyle="1" w:styleId="CommentaireCar">
    <w:name w:val="Commentaire Car"/>
    <w:basedOn w:val="Policepardfaut"/>
    <w:link w:val="Commentaire"/>
    <w:uiPriority w:val="99"/>
    <w:semiHidden/>
    <w:rsid w:val="001A79B0"/>
    <w:rPr>
      <w:sz w:val="20"/>
      <w:szCs w:val="20"/>
    </w:rPr>
  </w:style>
  <w:style w:type="paragraph" w:styleId="Objetducommentaire">
    <w:name w:val="annotation subject"/>
    <w:basedOn w:val="Commentaire"/>
    <w:next w:val="Commentaire"/>
    <w:link w:val="ObjetducommentaireCar"/>
    <w:uiPriority w:val="99"/>
    <w:semiHidden/>
    <w:unhideWhenUsed/>
    <w:rsid w:val="001A79B0"/>
    <w:rPr>
      <w:b/>
      <w:bCs/>
    </w:rPr>
  </w:style>
  <w:style w:type="character" w:customStyle="1" w:styleId="ObjetducommentaireCar">
    <w:name w:val="Objet du commentaire Car"/>
    <w:basedOn w:val="CommentaireCar"/>
    <w:link w:val="Objetducommentaire"/>
    <w:uiPriority w:val="99"/>
    <w:semiHidden/>
    <w:rsid w:val="001A79B0"/>
    <w:rPr>
      <w:b/>
      <w:bCs/>
      <w:sz w:val="20"/>
      <w:szCs w:val="20"/>
    </w:rPr>
  </w:style>
  <w:style w:type="paragraph" w:styleId="En-ttedetabledesmatires">
    <w:name w:val="TOC Heading"/>
    <w:basedOn w:val="Titre1"/>
    <w:next w:val="Normal"/>
    <w:uiPriority w:val="39"/>
    <w:unhideWhenUsed/>
    <w:qFormat/>
    <w:rsid w:val="00E1769A"/>
    <w:pPr>
      <w:spacing w:before="480" w:line="276" w:lineRule="auto"/>
      <w:outlineLvl w:val="9"/>
    </w:pPr>
    <w:rPr>
      <w:b/>
      <w:bCs/>
      <w:sz w:val="28"/>
      <w:szCs w:val="28"/>
      <w:lang w:val="en-US"/>
    </w:rPr>
  </w:style>
  <w:style w:type="paragraph" w:styleId="TM1">
    <w:name w:val="toc 1"/>
    <w:basedOn w:val="Normal"/>
    <w:next w:val="Normal"/>
    <w:autoRedefine/>
    <w:uiPriority w:val="39"/>
    <w:unhideWhenUsed/>
    <w:rsid w:val="0096061D"/>
    <w:pPr>
      <w:tabs>
        <w:tab w:val="right" w:leader="dot" w:pos="10456"/>
      </w:tabs>
      <w:spacing w:after="100"/>
    </w:pPr>
    <w:rPr>
      <w:b/>
      <w:noProof/>
      <w:sz w:val="28"/>
      <w:szCs w:val="28"/>
      <w:lang w:val="en-US"/>
    </w:rPr>
  </w:style>
  <w:style w:type="paragraph" w:styleId="En-tte">
    <w:name w:val="header"/>
    <w:basedOn w:val="Normal"/>
    <w:link w:val="En-tteCar"/>
    <w:uiPriority w:val="99"/>
    <w:unhideWhenUsed/>
    <w:rsid w:val="00A310ED"/>
    <w:pPr>
      <w:tabs>
        <w:tab w:val="center" w:pos="4703"/>
        <w:tab w:val="right" w:pos="9406"/>
      </w:tabs>
      <w:spacing w:after="0" w:line="240" w:lineRule="auto"/>
    </w:pPr>
  </w:style>
  <w:style w:type="character" w:customStyle="1" w:styleId="En-tteCar">
    <w:name w:val="En-tête Car"/>
    <w:basedOn w:val="Policepardfaut"/>
    <w:link w:val="En-tte"/>
    <w:uiPriority w:val="99"/>
    <w:rsid w:val="00A310ED"/>
  </w:style>
  <w:style w:type="paragraph" w:styleId="Pieddepage">
    <w:name w:val="footer"/>
    <w:basedOn w:val="Normal"/>
    <w:link w:val="PieddepageCar"/>
    <w:uiPriority w:val="99"/>
    <w:unhideWhenUsed/>
    <w:rsid w:val="00A310ED"/>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A310ED"/>
  </w:style>
  <w:style w:type="character" w:styleId="Lienhypertextesuivivisit">
    <w:name w:val="FollowedHyperlink"/>
    <w:basedOn w:val="Policepardfaut"/>
    <w:uiPriority w:val="99"/>
    <w:semiHidden/>
    <w:unhideWhenUsed/>
    <w:rsid w:val="00406E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939598">
      <w:bodyDiv w:val="1"/>
      <w:marLeft w:val="0"/>
      <w:marRight w:val="0"/>
      <w:marTop w:val="0"/>
      <w:marBottom w:val="0"/>
      <w:divBdr>
        <w:top w:val="none" w:sz="0" w:space="0" w:color="auto"/>
        <w:left w:val="none" w:sz="0" w:space="0" w:color="auto"/>
        <w:bottom w:val="none" w:sz="0" w:space="0" w:color="auto"/>
        <w:right w:val="none" w:sz="0" w:space="0" w:color="auto"/>
      </w:divBdr>
    </w:div>
    <w:div w:id="170937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9DE99DE7C64442991AED6EC439746D" ma:contentTypeVersion="0" ma:contentTypeDescription="Crée un document." ma:contentTypeScope="" ma:versionID="1f359be39c639649049aeb6a21113ff7">
  <xsd:schema xmlns:xsd="http://www.w3.org/2001/XMLSchema" xmlns:xs="http://www.w3.org/2001/XMLSchema" xmlns:p="http://schemas.microsoft.com/office/2006/metadata/properties" targetNamespace="http://schemas.microsoft.com/office/2006/metadata/properties" ma:root="true" ma:fieldsID="ab09c1ba23edfaa45a5e9d385267c9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01666-081E-4105-A2EB-9ED18C2106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A8CC9F-1F2D-4187-9BC4-63CA34B4BC58}">
  <ds:schemaRefs>
    <ds:schemaRef ds:uri="http://schemas.microsoft.com/sharepoint/v3/contenttype/forms"/>
  </ds:schemaRefs>
</ds:datastoreItem>
</file>

<file path=customXml/itemProps3.xml><?xml version="1.0" encoding="utf-8"?>
<ds:datastoreItem xmlns:ds="http://schemas.openxmlformats.org/officeDocument/2006/customXml" ds:itemID="{2F3FA1CB-22B4-4120-9E97-8B265D7F1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CF71DB1-C0AD-4CE6-AEB8-5376E48CF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2715</Characters>
  <Application>Microsoft Office Word</Application>
  <DocSecurity>0</DocSecurity>
  <Lines>22</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CA-CIB</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 MINASSIAN, Maya (CA-CIB)</dc:creator>
  <cp:lastModifiedBy>Ghozayel Tarek</cp:lastModifiedBy>
  <cp:revision>20</cp:revision>
  <cp:lastPrinted>2019-07-15T07:45:00Z</cp:lastPrinted>
  <dcterms:created xsi:type="dcterms:W3CDTF">2020-04-17T07:20:00Z</dcterms:created>
  <dcterms:modified xsi:type="dcterms:W3CDTF">2021-12-21T16:25:00Z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0x010100D79DE99DE7C64442991AED6EC439746D</vt:lpwstr>
  </property>
  <property fmtid="{D5CDD505-2E9C-101B-9397-08002B2CF9AE}" pid="3" name="MSIP_Label_5575590c-269f-4124-b0f8-2fb2473b0712_Enabled">
    <vt:lpwstr>true</vt:lpwstr>
  </property>
  <property fmtid="{D5CDD505-2E9C-101B-9397-08002B2CF9AE}" pid="4" name="MSIP_Label_5575590c-269f-4124-b0f8-2fb2473b0712_SetDate">
    <vt:lpwstr>2021-12-13T14:41:19Z</vt:lpwstr>
  </property>
  <property fmtid="{D5CDD505-2E9C-101B-9397-08002B2CF9AE}" pid="5" name="MSIP_Label_5575590c-269f-4124-b0f8-2fb2473b0712_Method">
    <vt:lpwstr>Privileged</vt:lpwstr>
  </property>
  <property fmtid="{D5CDD505-2E9C-101B-9397-08002B2CF9AE}" pid="6" name="MSIP_Label_5575590c-269f-4124-b0f8-2fb2473b0712_Name">
    <vt:lpwstr>Public</vt:lpwstr>
  </property>
  <property fmtid="{D5CDD505-2E9C-101B-9397-08002B2CF9AE}" pid="7" name="MSIP_Label_5575590c-269f-4124-b0f8-2fb2473b0712_SiteId">
    <vt:lpwstr>fb3baf17-c313-474c-8d5d-577a3ec97a32</vt:lpwstr>
  </property>
  <property fmtid="{D5CDD505-2E9C-101B-9397-08002B2CF9AE}" pid="8" name="MSIP_Label_5575590c-269f-4124-b0f8-2fb2473b0712_ActionId">
    <vt:lpwstr>0b19cd5c-3cde-42aa-8207-8b744d5ede5c</vt:lpwstr>
  </property>
  <property fmtid="{D5CDD505-2E9C-101B-9397-08002B2CF9AE}" pid="9" name="MSIP_Label_5575590c-269f-4124-b0f8-2fb2473b0712_ContentBits">
    <vt:lpwstr>0</vt:lpwstr>
  </property>
</Properties>
</file>